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62" w:rsidRPr="0041778B" w:rsidRDefault="00AF2462" w:rsidP="0025265E">
      <w:pPr>
        <w:spacing w:line="360" w:lineRule="auto"/>
        <w:jc w:val="center"/>
        <w:rPr>
          <w:b/>
        </w:rPr>
      </w:pPr>
      <w:bookmarkStart w:id="0" w:name="_GoBack"/>
      <w:bookmarkEnd w:id="0"/>
      <w:r w:rsidRPr="0041778B">
        <w:rPr>
          <w:b/>
        </w:rPr>
        <w:t>İLAN</w:t>
      </w:r>
    </w:p>
    <w:p w:rsidR="00AF2462" w:rsidRPr="0041778B" w:rsidRDefault="00AF2462" w:rsidP="0025265E">
      <w:pPr>
        <w:spacing w:line="360" w:lineRule="auto"/>
        <w:jc w:val="center"/>
        <w:rPr>
          <w:b/>
        </w:rPr>
      </w:pPr>
      <w:r w:rsidRPr="0041778B">
        <w:rPr>
          <w:b/>
        </w:rPr>
        <w:t>KAYSERİ MELİKGAZİ BELEDİYE BAŞKANLIĞI’NDAN</w:t>
      </w:r>
    </w:p>
    <w:p w:rsidR="00655C33" w:rsidRDefault="00AF2462" w:rsidP="0048172D">
      <w:pPr>
        <w:spacing w:line="360" w:lineRule="auto"/>
        <w:ind w:firstLine="708"/>
        <w:jc w:val="both"/>
        <w:rPr>
          <w:sz w:val="22"/>
          <w:szCs w:val="22"/>
        </w:rPr>
      </w:pPr>
      <w:r w:rsidRPr="00891498">
        <w:rPr>
          <w:sz w:val="22"/>
          <w:szCs w:val="22"/>
        </w:rPr>
        <w:t xml:space="preserve">Mülkiyeti Belediyemize ait aşağıda bilgileri sunulan taşınmazlar 2886 sayılı Devlet İhale Kanunu’nun 45. maddesine </w:t>
      </w:r>
      <w:r w:rsidR="00116129">
        <w:rPr>
          <w:sz w:val="22"/>
          <w:szCs w:val="22"/>
        </w:rPr>
        <w:t>i</w:t>
      </w:r>
      <w:r w:rsidR="00FF6A68">
        <w:rPr>
          <w:sz w:val="22"/>
          <w:szCs w:val="22"/>
        </w:rPr>
        <w:t>stinaden Açık Teklif Usulüyle 5</w:t>
      </w:r>
      <w:r w:rsidRPr="00891498">
        <w:rPr>
          <w:sz w:val="22"/>
          <w:szCs w:val="22"/>
        </w:rPr>
        <w:t xml:space="preserve"> yıllığına kiraya verilecek</w:t>
      </w:r>
      <w:r w:rsidR="00482682">
        <w:rPr>
          <w:sz w:val="22"/>
          <w:szCs w:val="22"/>
        </w:rPr>
        <w:t xml:space="preserve"> olup listede bulunan muhammen bedeller bir yıllık kira bedeli için belirlenmiştir.</w:t>
      </w:r>
    </w:p>
    <w:p w:rsidR="00482682" w:rsidRDefault="00482682" w:rsidP="0025265E">
      <w:pPr>
        <w:spacing w:line="360" w:lineRule="auto"/>
        <w:jc w:val="both"/>
        <w:rPr>
          <w:sz w:val="22"/>
          <w:szCs w:val="22"/>
        </w:rPr>
      </w:pPr>
    </w:p>
    <w:tbl>
      <w:tblPr>
        <w:tblW w:w="9752" w:type="dxa"/>
        <w:jc w:val="center"/>
        <w:tblCellMar>
          <w:left w:w="70" w:type="dxa"/>
          <w:right w:w="70" w:type="dxa"/>
        </w:tblCellMar>
        <w:tblLook w:val="04A0" w:firstRow="1" w:lastRow="0" w:firstColumn="1" w:lastColumn="0" w:noHBand="0" w:noVBand="1"/>
      </w:tblPr>
      <w:tblGrid>
        <w:gridCol w:w="496"/>
        <w:gridCol w:w="922"/>
        <w:gridCol w:w="2044"/>
        <w:gridCol w:w="563"/>
        <w:gridCol w:w="496"/>
        <w:gridCol w:w="674"/>
        <w:gridCol w:w="987"/>
        <w:gridCol w:w="709"/>
        <w:gridCol w:w="1684"/>
        <w:gridCol w:w="1177"/>
      </w:tblGrid>
      <w:tr w:rsidR="0025265E" w:rsidTr="0025265E">
        <w:trPr>
          <w:trHeight w:val="87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 xml:space="preserve">Sıra </w:t>
            </w:r>
            <w:r>
              <w:rPr>
                <w:b/>
                <w:bCs/>
                <w:sz w:val="20"/>
                <w:szCs w:val="20"/>
                <w:lang w:eastAsia="tr-TR"/>
              </w:rPr>
              <w:br/>
              <w:t>No</w:t>
            </w:r>
          </w:p>
        </w:tc>
        <w:tc>
          <w:tcPr>
            <w:tcW w:w="922" w:type="dxa"/>
            <w:tcBorders>
              <w:top w:val="single" w:sz="4" w:space="0" w:color="auto"/>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Mahalle</w:t>
            </w:r>
          </w:p>
        </w:tc>
        <w:tc>
          <w:tcPr>
            <w:tcW w:w="2044" w:type="dxa"/>
            <w:tcBorders>
              <w:top w:val="single" w:sz="4" w:space="0" w:color="auto"/>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Sokak</w:t>
            </w:r>
          </w:p>
        </w:tc>
        <w:tc>
          <w:tcPr>
            <w:tcW w:w="563" w:type="dxa"/>
            <w:tcBorders>
              <w:top w:val="single" w:sz="4" w:space="0" w:color="auto"/>
              <w:left w:val="nil"/>
              <w:bottom w:val="single" w:sz="4" w:space="0" w:color="auto"/>
              <w:right w:val="single" w:sz="4" w:space="0" w:color="auto"/>
            </w:tcBorders>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Kapı</w:t>
            </w:r>
            <w:r>
              <w:rPr>
                <w:b/>
                <w:bCs/>
                <w:sz w:val="20"/>
                <w:szCs w:val="20"/>
                <w:lang w:eastAsia="tr-TR"/>
              </w:rPr>
              <w:br/>
              <w:t xml:space="preserve"> No</w:t>
            </w:r>
          </w:p>
        </w:tc>
        <w:tc>
          <w:tcPr>
            <w:tcW w:w="496" w:type="dxa"/>
            <w:tcBorders>
              <w:top w:val="single" w:sz="4" w:space="0" w:color="auto"/>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Ada</w:t>
            </w:r>
          </w:p>
        </w:tc>
        <w:tc>
          <w:tcPr>
            <w:tcW w:w="674" w:type="dxa"/>
            <w:tcBorders>
              <w:top w:val="single" w:sz="4" w:space="0" w:color="auto"/>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Parsel</w:t>
            </w:r>
          </w:p>
        </w:tc>
        <w:tc>
          <w:tcPr>
            <w:tcW w:w="987" w:type="dxa"/>
            <w:tcBorders>
              <w:top w:val="single" w:sz="4" w:space="0" w:color="auto"/>
              <w:left w:val="nil"/>
              <w:bottom w:val="single" w:sz="4" w:space="0" w:color="auto"/>
              <w:right w:val="single" w:sz="4" w:space="0" w:color="auto"/>
            </w:tcBorders>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Taşınmaz</w:t>
            </w:r>
            <w:r>
              <w:rPr>
                <w:b/>
                <w:bCs/>
                <w:sz w:val="20"/>
                <w:szCs w:val="20"/>
                <w:lang w:eastAsia="tr-TR"/>
              </w:rPr>
              <w:br/>
              <w:t xml:space="preserve"> Cinsi</w:t>
            </w:r>
          </w:p>
        </w:tc>
        <w:tc>
          <w:tcPr>
            <w:tcW w:w="709" w:type="dxa"/>
            <w:tcBorders>
              <w:top w:val="single" w:sz="4" w:space="0" w:color="auto"/>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b/>
                <w:bCs/>
                <w:sz w:val="20"/>
                <w:szCs w:val="20"/>
                <w:lang w:eastAsia="tr-TR"/>
              </w:rPr>
            </w:pPr>
            <w:r>
              <w:rPr>
                <w:b/>
                <w:bCs/>
                <w:sz w:val="20"/>
                <w:szCs w:val="20"/>
                <w:lang w:eastAsia="tr-TR"/>
              </w:rPr>
              <w:t>Alan</w:t>
            </w:r>
          </w:p>
          <w:p w:rsidR="0025265E" w:rsidRDefault="0025265E" w:rsidP="0025265E">
            <w:pPr>
              <w:suppressAutoHyphens w:val="0"/>
              <w:spacing w:line="360" w:lineRule="auto"/>
              <w:jc w:val="center"/>
              <w:rPr>
                <w:b/>
                <w:bCs/>
                <w:sz w:val="20"/>
                <w:szCs w:val="20"/>
                <w:lang w:eastAsia="tr-TR"/>
              </w:rPr>
            </w:pPr>
            <w:r>
              <w:rPr>
                <w:b/>
                <w:bCs/>
                <w:sz w:val="20"/>
                <w:szCs w:val="20"/>
                <w:lang w:eastAsia="tr-TR"/>
              </w:rPr>
              <w:t xml:space="preserve"> (m2)</w:t>
            </w:r>
          </w:p>
        </w:tc>
        <w:tc>
          <w:tcPr>
            <w:tcW w:w="1684" w:type="dxa"/>
            <w:tcBorders>
              <w:top w:val="single" w:sz="4" w:space="0" w:color="auto"/>
              <w:left w:val="nil"/>
              <w:bottom w:val="single" w:sz="4" w:space="0" w:color="auto"/>
              <w:right w:val="single" w:sz="4" w:space="0" w:color="auto"/>
            </w:tcBorders>
          </w:tcPr>
          <w:p w:rsidR="0025265E" w:rsidRDefault="0025265E" w:rsidP="0025265E">
            <w:pPr>
              <w:suppressAutoHyphens w:val="0"/>
              <w:spacing w:line="360" w:lineRule="auto"/>
              <w:jc w:val="center"/>
              <w:rPr>
                <w:b/>
                <w:bCs/>
                <w:sz w:val="20"/>
                <w:szCs w:val="20"/>
                <w:lang w:eastAsia="tr-TR"/>
              </w:rPr>
            </w:pPr>
          </w:p>
          <w:p w:rsidR="0025265E" w:rsidRDefault="0025265E" w:rsidP="0025265E">
            <w:pPr>
              <w:suppressAutoHyphens w:val="0"/>
              <w:spacing w:line="360" w:lineRule="auto"/>
              <w:jc w:val="center"/>
              <w:rPr>
                <w:b/>
                <w:bCs/>
                <w:sz w:val="20"/>
                <w:szCs w:val="20"/>
                <w:lang w:eastAsia="tr-TR"/>
              </w:rPr>
            </w:pPr>
            <w:r>
              <w:rPr>
                <w:b/>
                <w:bCs/>
                <w:sz w:val="20"/>
                <w:szCs w:val="20"/>
                <w:lang w:eastAsia="tr-TR"/>
              </w:rPr>
              <w:t>Muhammen Bedel (1 Yıllık )</w:t>
            </w:r>
          </w:p>
        </w:tc>
        <w:tc>
          <w:tcPr>
            <w:tcW w:w="1177" w:type="dxa"/>
            <w:tcBorders>
              <w:top w:val="single" w:sz="4" w:space="0" w:color="auto"/>
              <w:left w:val="nil"/>
              <w:bottom w:val="single" w:sz="4" w:space="0" w:color="auto"/>
              <w:right w:val="single" w:sz="4" w:space="0" w:color="auto"/>
            </w:tcBorders>
          </w:tcPr>
          <w:p w:rsidR="0025265E" w:rsidRDefault="0025265E" w:rsidP="0025265E">
            <w:pPr>
              <w:suppressAutoHyphens w:val="0"/>
              <w:spacing w:line="360" w:lineRule="auto"/>
              <w:jc w:val="center"/>
              <w:rPr>
                <w:b/>
                <w:bCs/>
                <w:sz w:val="20"/>
                <w:szCs w:val="20"/>
                <w:lang w:eastAsia="tr-TR"/>
              </w:rPr>
            </w:pPr>
          </w:p>
          <w:p w:rsidR="0025265E" w:rsidRDefault="0025265E" w:rsidP="0025265E">
            <w:pPr>
              <w:suppressAutoHyphens w:val="0"/>
              <w:spacing w:line="360" w:lineRule="auto"/>
              <w:jc w:val="center"/>
              <w:rPr>
                <w:b/>
                <w:bCs/>
                <w:sz w:val="20"/>
                <w:szCs w:val="20"/>
                <w:lang w:eastAsia="tr-TR"/>
              </w:rPr>
            </w:pPr>
            <w:r>
              <w:rPr>
                <w:b/>
                <w:bCs/>
                <w:sz w:val="20"/>
                <w:szCs w:val="20"/>
                <w:lang w:eastAsia="tr-TR"/>
              </w:rPr>
              <w:t>Geçici Teminat</w:t>
            </w:r>
          </w:p>
        </w:tc>
      </w:tr>
      <w:tr w:rsidR="0025265E" w:rsidTr="0025265E">
        <w:trPr>
          <w:trHeight w:val="525"/>
          <w:jc w:val="center"/>
        </w:trPr>
        <w:tc>
          <w:tcPr>
            <w:tcW w:w="496" w:type="dxa"/>
            <w:tcBorders>
              <w:top w:val="nil"/>
              <w:left w:val="single" w:sz="4" w:space="0" w:color="auto"/>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1</w:t>
            </w:r>
          </w:p>
        </w:tc>
        <w:tc>
          <w:tcPr>
            <w:tcW w:w="922"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GÜLÜK</w:t>
            </w:r>
          </w:p>
        </w:tc>
        <w:tc>
          <w:tcPr>
            <w:tcW w:w="2044"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LEBLEBİCİLER SK.</w:t>
            </w:r>
          </w:p>
        </w:tc>
        <w:tc>
          <w:tcPr>
            <w:tcW w:w="563"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17-A</w:t>
            </w:r>
          </w:p>
        </w:tc>
        <w:tc>
          <w:tcPr>
            <w:tcW w:w="496"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672</w:t>
            </w:r>
          </w:p>
        </w:tc>
        <w:tc>
          <w:tcPr>
            <w:tcW w:w="674"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2</w:t>
            </w:r>
          </w:p>
        </w:tc>
        <w:tc>
          <w:tcPr>
            <w:tcW w:w="987"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Büro</w:t>
            </w:r>
          </w:p>
        </w:tc>
        <w:tc>
          <w:tcPr>
            <w:tcW w:w="709"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200</w:t>
            </w:r>
          </w:p>
        </w:tc>
        <w:tc>
          <w:tcPr>
            <w:tcW w:w="1684" w:type="dxa"/>
            <w:tcBorders>
              <w:top w:val="nil"/>
              <w:left w:val="nil"/>
              <w:bottom w:val="single" w:sz="4" w:space="0" w:color="auto"/>
              <w:right w:val="single" w:sz="4" w:space="0" w:color="auto"/>
            </w:tcBorders>
            <w:vAlign w:val="center"/>
          </w:tcPr>
          <w:p w:rsidR="0025265E" w:rsidRDefault="0025265E" w:rsidP="0025265E">
            <w:pPr>
              <w:suppressAutoHyphens w:val="0"/>
              <w:spacing w:line="360" w:lineRule="auto"/>
              <w:jc w:val="center"/>
              <w:rPr>
                <w:sz w:val="20"/>
                <w:szCs w:val="20"/>
                <w:lang w:eastAsia="tr-TR"/>
              </w:rPr>
            </w:pPr>
            <w:r>
              <w:rPr>
                <w:sz w:val="20"/>
                <w:szCs w:val="20"/>
                <w:lang w:eastAsia="tr-TR"/>
              </w:rPr>
              <w:t>12.000 TL</w:t>
            </w:r>
          </w:p>
        </w:tc>
        <w:tc>
          <w:tcPr>
            <w:tcW w:w="1177" w:type="dxa"/>
            <w:tcBorders>
              <w:top w:val="nil"/>
              <w:left w:val="nil"/>
              <w:bottom w:val="single" w:sz="4" w:space="0" w:color="auto"/>
              <w:right w:val="single" w:sz="4" w:space="0" w:color="auto"/>
            </w:tcBorders>
            <w:vAlign w:val="center"/>
          </w:tcPr>
          <w:p w:rsidR="0025265E" w:rsidRDefault="0025265E" w:rsidP="0025265E">
            <w:pPr>
              <w:suppressAutoHyphens w:val="0"/>
              <w:spacing w:line="360" w:lineRule="auto"/>
              <w:jc w:val="center"/>
              <w:rPr>
                <w:sz w:val="20"/>
                <w:szCs w:val="20"/>
                <w:lang w:eastAsia="tr-TR"/>
              </w:rPr>
            </w:pPr>
            <w:r>
              <w:rPr>
                <w:sz w:val="20"/>
                <w:szCs w:val="20"/>
                <w:lang w:eastAsia="tr-TR"/>
              </w:rPr>
              <w:t>720 TL</w:t>
            </w:r>
          </w:p>
        </w:tc>
      </w:tr>
      <w:tr w:rsidR="0025265E" w:rsidTr="0025265E">
        <w:trPr>
          <w:trHeight w:val="645"/>
          <w:jc w:val="center"/>
        </w:trPr>
        <w:tc>
          <w:tcPr>
            <w:tcW w:w="496" w:type="dxa"/>
            <w:tcBorders>
              <w:top w:val="nil"/>
              <w:left w:val="single" w:sz="4" w:space="0" w:color="auto"/>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2</w:t>
            </w:r>
          </w:p>
        </w:tc>
        <w:tc>
          <w:tcPr>
            <w:tcW w:w="922"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GÜLÜK</w:t>
            </w:r>
          </w:p>
        </w:tc>
        <w:tc>
          <w:tcPr>
            <w:tcW w:w="2044"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LEBLEBİCİLER SK.</w:t>
            </w:r>
          </w:p>
        </w:tc>
        <w:tc>
          <w:tcPr>
            <w:tcW w:w="563"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17</w:t>
            </w:r>
          </w:p>
        </w:tc>
        <w:tc>
          <w:tcPr>
            <w:tcW w:w="496"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672</w:t>
            </w:r>
          </w:p>
        </w:tc>
        <w:tc>
          <w:tcPr>
            <w:tcW w:w="674"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3</w:t>
            </w:r>
          </w:p>
        </w:tc>
        <w:tc>
          <w:tcPr>
            <w:tcW w:w="987"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Büro</w:t>
            </w:r>
          </w:p>
        </w:tc>
        <w:tc>
          <w:tcPr>
            <w:tcW w:w="709" w:type="dxa"/>
            <w:tcBorders>
              <w:top w:val="nil"/>
              <w:left w:val="nil"/>
              <w:bottom w:val="single" w:sz="4" w:space="0" w:color="auto"/>
              <w:right w:val="single" w:sz="4" w:space="0" w:color="auto"/>
            </w:tcBorders>
            <w:noWrap/>
            <w:vAlign w:val="center"/>
            <w:hideMark/>
          </w:tcPr>
          <w:p w:rsidR="0025265E" w:rsidRDefault="0025265E" w:rsidP="0025265E">
            <w:pPr>
              <w:suppressAutoHyphens w:val="0"/>
              <w:spacing w:line="360" w:lineRule="auto"/>
              <w:jc w:val="center"/>
              <w:rPr>
                <w:sz w:val="20"/>
                <w:szCs w:val="20"/>
                <w:lang w:eastAsia="tr-TR"/>
              </w:rPr>
            </w:pPr>
            <w:r>
              <w:rPr>
                <w:sz w:val="20"/>
                <w:szCs w:val="20"/>
                <w:lang w:eastAsia="tr-TR"/>
              </w:rPr>
              <w:t>100</w:t>
            </w:r>
          </w:p>
        </w:tc>
        <w:tc>
          <w:tcPr>
            <w:tcW w:w="1684" w:type="dxa"/>
            <w:tcBorders>
              <w:top w:val="nil"/>
              <w:left w:val="nil"/>
              <w:bottom w:val="single" w:sz="4" w:space="0" w:color="auto"/>
              <w:right w:val="single" w:sz="4" w:space="0" w:color="auto"/>
            </w:tcBorders>
            <w:vAlign w:val="center"/>
          </w:tcPr>
          <w:p w:rsidR="0025265E" w:rsidRDefault="0025265E" w:rsidP="0025265E">
            <w:pPr>
              <w:suppressAutoHyphens w:val="0"/>
              <w:spacing w:line="360" w:lineRule="auto"/>
              <w:jc w:val="center"/>
              <w:rPr>
                <w:sz w:val="20"/>
                <w:szCs w:val="20"/>
                <w:lang w:eastAsia="tr-TR"/>
              </w:rPr>
            </w:pPr>
            <w:r>
              <w:rPr>
                <w:sz w:val="20"/>
                <w:szCs w:val="20"/>
                <w:lang w:eastAsia="tr-TR"/>
              </w:rPr>
              <w:t>6.000 TL</w:t>
            </w:r>
          </w:p>
        </w:tc>
        <w:tc>
          <w:tcPr>
            <w:tcW w:w="1177" w:type="dxa"/>
            <w:tcBorders>
              <w:top w:val="nil"/>
              <w:left w:val="nil"/>
              <w:bottom w:val="single" w:sz="4" w:space="0" w:color="auto"/>
              <w:right w:val="single" w:sz="4" w:space="0" w:color="auto"/>
            </w:tcBorders>
            <w:vAlign w:val="center"/>
          </w:tcPr>
          <w:p w:rsidR="0025265E" w:rsidRDefault="0025265E" w:rsidP="0025265E">
            <w:pPr>
              <w:suppressAutoHyphens w:val="0"/>
              <w:spacing w:line="360" w:lineRule="auto"/>
              <w:jc w:val="center"/>
              <w:rPr>
                <w:sz w:val="20"/>
                <w:szCs w:val="20"/>
                <w:lang w:eastAsia="tr-TR"/>
              </w:rPr>
            </w:pPr>
            <w:r>
              <w:rPr>
                <w:sz w:val="20"/>
                <w:szCs w:val="20"/>
                <w:lang w:eastAsia="tr-TR"/>
              </w:rPr>
              <w:t>360 TL</w:t>
            </w:r>
          </w:p>
        </w:tc>
      </w:tr>
    </w:tbl>
    <w:p w:rsidR="00C51B31" w:rsidRPr="00891498" w:rsidRDefault="00C51B31" w:rsidP="0025265E">
      <w:pPr>
        <w:spacing w:line="360" w:lineRule="auto"/>
        <w:jc w:val="center"/>
        <w:rPr>
          <w:sz w:val="22"/>
          <w:szCs w:val="22"/>
        </w:rPr>
      </w:pPr>
    </w:p>
    <w:p w:rsidR="00122C64" w:rsidRPr="005701FA" w:rsidRDefault="008035AA" w:rsidP="0025265E">
      <w:pPr>
        <w:numPr>
          <w:ilvl w:val="0"/>
          <w:numId w:val="1"/>
        </w:numPr>
        <w:tabs>
          <w:tab w:val="clear" w:pos="5039"/>
          <w:tab w:val="left" w:pos="-100"/>
          <w:tab w:val="left" w:pos="300"/>
          <w:tab w:val="num" w:pos="360"/>
        </w:tabs>
        <w:spacing w:line="360" w:lineRule="auto"/>
        <w:ind w:left="0" w:firstLine="0"/>
        <w:jc w:val="both"/>
        <w:rPr>
          <w:sz w:val="22"/>
          <w:szCs w:val="22"/>
        </w:rPr>
      </w:pPr>
      <w:r>
        <w:rPr>
          <w:sz w:val="22"/>
          <w:szCs w:val="22"/>
        </w:rPr>
        <w:t>İhale 08 Haziran</w:t>
      </w:r>
      <w:r w:rsidR="00D040A5">
        <w:rPr>
          <w:sz w:val="22"/>
          <w:szCs w:val="22"/>
        </w:rPr>
        <w:t xml:space="preserve"> 2021</w:t>
      </w:r>
      <w:r>
        <w:rPr>
          <w:sz w:val="22"/>
          <w:szCs w:val="22"/>
        </w:rPr>
        <w:t xml:space="preserve"> Salı</w:t>
      </w:r>
      <w:r w:rsidR="00122C64" w:rsidRPr="005701FA">
        <w:rPr>
          <w:sz w:val="22"/>
          <w:szCs w:val="22"/>
        </w:rPr>
        <w:t xml:space="preserve"> günü </w:t>
      </w:r>
      <w:r w:rsidR="00AD2107">
        <w:rPr>
          <w:sz w:val="22"/>
          <w:szCs w:val="22"/>
        </w:rPr>
        <w:t>saat 15</w:t>
      </w:r>
      <w:r w:rsidR="00D040A5">
        <w:rPr>
          <w:sz w:val="22"/>
          <w:szCs w:val="22"/>
        </w:rPr>
        <w:t>.00’d</w:t>
      </w:r>
      <w:r w:rsidR="002E50B4">
        <w:rPr>
          <w:sz w:val="22"/>
          <w:szCs w:val="22"/>
        </w:rPr>
        <w:t>e</w:t>
      </w:r>
      <w:r w:rsidR="003D2660">
        <w:rPr>
          <w:sz w:val="22"/>
          <w:szCs w:val="22"/>
        </w:rPr>
        <w:t xml:space="preserve"> Belediyemiz Encümen</w:t>
      </w:r>
      <w:r w:rsidR="00122C64" w:rsidRPr="005701FA">
        <w:rPr>
          <w:sz w:val="22"/>
          <w:szCs w:val="22"/>
        </w:rPr>
        <w:t xml:space="preserve"> Salonu’nda yapılacaktır.</w:t>
      </w:r>
    </w:p>
    <w:p w:rsidR="0025265E" w:rsidRPr="0025265E" w:rsidRDefault="0025265E" w:rsidP="0025265E">
      <w:pPr>
        <w:numPr>
          <w:ilvl w:val="0"/>
          <w:numId w:val="1"/>
        </w:numPr>
        <w:tabs>
          <w:tab w:val="clear" w:pos="5039"/>
          <w:tab w:val="left" w:pos="-100"/>
          <w:tab w:val="left" w:pos="300"/>
          <w:tab w:val="num" w:pos="360"/>
        </w:tabs>
        <w:spacing w:line="360" w:lineRule="auto"/>
        <w:ind w:left="0" w:firstLine="0"/>
        <w:jc w:val="both"/>
        <w:rPr>
          <w:sz w:val="22"/>
          <w:szCs w:val="22"/>
        </w:rPr>
      </w:pPr>
      <w:r w:rsidRPr="0025265E">
        <w:rPr>
          <w:sz w:val="22"/>
          <w:szCs w:val="22"/>
        </w:rPr>
        <w:t xml:space="preserve">İhaleye katılabilmek için; katılımcıların Belediyemize yatırmış oldukları geçici teminat makbuzu veya banka teminat mektubu, tüzel kişiliğe ait evrakları, ihaleye iştirak eden tüzel kişiliği temsil eden yetkili şahıs veya şahısların yetki belgesi ve imza sirkülerini, ibraz etmeleri gerekmektedir. </w:t>
      </w:r>
    </w:p>
    <w:p w:rsidR="00122C64" w:rsidRPr="0025265E" w:rsidRDefault="00122C64" w:rsidP="0025265E">
      <w:pPr>
        <w:tabs>
          <w:tab w:val="left" w:pos="-100"/>
          <w:tab w:val="left" w:pos="300"/>
        </w:tabs>
        <w:spacing w:line="360" w:lineRule="auto"/>
        <w:jc w:val="both"/>
        <w:rPr>
          <w:sz w:val="22"/>
          <w:szCs w:val="22"/>
        </w:rPr>
      </w:pPr>
      <w:r w:rsidRPr="005701FA">
        <w:rPr>
          <w:sz w:val="22"/>
          <w:szCs w:val="22"/>
        </w:rPr>
        <w:t>B</w:t>
      </w:r>
      <w:r w:rsidRPr="0025265E">
        <w:rPr>
          <w:sz w:val="22"/>
          <w:szCs w:val="22"/>
        </w:rPr>
        <w:t>elgelerin aslı yerine</w:t>
      </w:r>
      <w:r w:rsidR="009871D9" w:rsidRPr="0025265E">
        <w:rPr>
          <w:sz w:val="22"/>
          <w:szCs w:val="22"/>
        </w:rPr>
        <w:t xml:space="preserve"> fotokopi </w:t>
      </w:r>
      <w:r w:rsidRPr="0025265E">
        <w:rPr>
          <w:sz w:val="22"/>
          <w:szCs w:val="22"/>
        </w:rPr>
        <w:t>yahut suretlerinin veri</w:t>
      </w:r>
      <w:r w:rsidR="0041155F" w:rsidRPr="0025265E">
        <w:rPr>
          <w:sz w:val="22"/>
          <w:szCs w:val="22"/>
        </w:rPr>
        <w:t xml:space="preserve">lmesi halinde asıllarının ibraz </w:t>
      </w:r>
      <w:r w:rsidRPr="0025265E">
        <w:rPr>
          <w:sz w:val="22"/>
          <w:szCs w:val="22"/>
        </w:rPr>
        <w:t>edilmesi</w:t>
      </w:r>
      <w:r w:rsidR="002357D5" w:rsidRPr="0025265E">
        <w:rPr>
          <w:sz w:val="22"/>
          <w:szCs w:val="22"/>
        </w:rPr>
        <w:t xml:space="preserve"> </w:t>
      </w:r>
      <w:r w:rsidRPr="0025265E">
        <w:rPr>
          <w:sz w:val="22"/>
          <w:szCs w:val="22"/>
        </w:rPr>
        <w:t>gerekmektedir.</w:t>
      </w:r>
    </w:p>
    <w:p w:rsidR="00122C64" w:rsidRPr="0025265E" w:rsidRDefault="00122C64" w:rsidP="0025265E">
      <w:pPr>
        <w:numPr>
          <w:ilvl w:val="0"/>
          <w:numId w:val="1"/>
        </w:numPr>
        <w:tabs>
          <w:tab w:val="clear" w:pos="5039"/>
          <w:tab w:val="left" w:pos="-100"/>
          <w:tab w:val="left" w:pos="300"/>
          <w:tab w:val="num" w:pos="360"/>
        </w:tabs>
        <w:spacing w:line="360" w:lineRule="auto"/>
        <w:ind w:left="0" w:firstLine="0"/>
        <w:jc w:val="both"/>
        <w:rPr>
          <w:sz w:val="22"/>
          <w:szCs w:val="22"/>
        </w:rPr>
      </w:pPr>
      <w:r w:rsidRPr="0025265E">
        <w:rPr>
          <w:sz w:val="22"/>
          <w:szCs w:val="22"/>
        </w:rPr>
        <w:t xml:space="preserve">İhale Şartnamesi Belediyemiz Ruhsat ve Denetim Müdürlüğü’nde görülebilir. </w:t>
      </w:r>
    </w:p>
    <w:p w:rsidR="00122C64" w:rsidRDefault="00122C64" w:rsidP="0025265E">
      <w:pPr>
        <w:tabs>
          <w:tab w:val="left" w:pos="-100"/>
          <w:tab w:val="left" w:pos="300"/>
        </w:tabs>
        <w:spacing w:line="360" w:lineRule="auto"/>
        <w:jc w:val="both"/>
      </w:pPr>
    </w:p>
    <w:sectPr w:rsidR="00122C64" w:rsidSect="0025265E">
      <w:headerReference w:type="default" r:id="rId7"/>
      <w:footerReference w:type="default" r:id="rId8"/>
      <w:pgSz w:w="11906" w:h="16838" w:code="9"/>
      <w:pgMar w:top="284" w:right="707"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73" w:rsidRDefault="00373F73">
      <w:r>
        <w:separator/>
      </w:r>
    </w:p>
  </w:endnote>
  <w:endnote w:type="continuationSeparator" w:id="0">
    <w:p w:rsidR="00373F73" w:rsidRDefault="0037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68" w:rsidRDefault="00654A68">
    <w:pPr>
      <w:pStyle w:val="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73" w:rsidRDefault="00373F73">
      <w:r>
        <w:separator/>
      </w:r>
    </w:p>
  </w:footnote>
  <w:footnote w:type="continuationSeparator" w:id="0">
    <w:p w:rsidR="00373F73" w:rsidRDefault="00373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68" w:rsidRDefault="00654A68">
    <w:pPr>
      <w:pStyle w:val="a"/>
      <w:ind w:right="360"/>
    </w:pPr>
  </w:p>
  <w:p w:rsidR="00654A68" w:rsidRDefault="00654A68">
    <w:pPr>
      <w:pStyle w:val="a"/>
      <w:ind w:right="360"/>
    </w:pPr>
  </w:p>
  <w:p w:rsidR="00654A68" w:rsidRDefault="00654A68">
    <w:pPr>
      <w:pStyle w:val="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39"/>
        </w:tabs>
        <w:ind w:left="5039" w:hanging="360"/>
      </w:pPr>
      <w:rPr>
        <w:b/>
        <w:color w:val="auto"/>
      </w:rPr>
    </w:lvl>
  </w:abstractNum>
  <w:abstractNum w:abstractNumId="1" w15:restartNumberingAfterBreak="0">
    <w:nsid w:val="0A690C22"/>
    <w:multiLevelType w:val="hybridMultilevel"/>
    <w:tmpl w:val="D84A397E"/>
    <w:lvl w:ilvl="0" w:tplc="6B74B9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B4"/>
    <w:rsid w:val="000469FE"/>
    <w:rsid w:val="000664FE"/>
    <w:rsid w:val="0007288C"/>
    <w:rsid w:val="0008012F"/>
    <w:rsid w:val="000B193C"/>
    <w:rsid w:val="00116129"/>
    <w:rsid w:val="00122C64"/>
    <w:rsid w:val="00143BDB"/>
    <w:rsid w:val="00157E0A"/>
    <w:rsid w:val="001C4933"/>
    <w:rsid w:val="001D07CE"/>
    <w:rsid w:val="00217751"/>
    <w:rsid w:val="00220F10"/>
    <w:rsid w:val="002357D5"/>
    <w:rsid w:val="0025265E"/>
    <w:rsid w:val="002B4D98"/>
    <w:rsid w:val="002C7CBD"/>
    <w:rsid w:val="002D1AD8"/>
    <w:rsid w:val="002E50B4"/>
    <w:rsid w:val="0033009F"/>
    <w:rsid w:val="00340CB8"/>
    <w:rsid w:val="00341588"/>
    <w:rsid w:val="00373F73"/>
    <w:rsid w:val="003967DB"/>
    <w:rsid w:val="003D2660"/>
    <w:rsid w:val="0041155F"/>
    <w:rsid w:val="0041778B"/>
    <w:rsid w:val="00427AF1"/>
    <w:rsid w:val="00454A60"/>
    <w:rsid w:val="00465791"/>
    <w:rsid w:val="0048172D"/>
    <w:rsid w:val="00482682"/>
    <w:rsid w:val="004C78B9"/>
    <w:rsid w:val="00502EB6"/>
    <w:rsid w:val="00510E13"/>
    <w:rsid w:val="00521589"/>
    <w:rsid w:val="005701FA"/>
    <w:rsid w:val="005A3957"/>
    <w:rsid w:val="005E64CD"/>
    <w:rsid w:val="005F5405"/>
    <w:rsid w:val="006039A5"/>
    <w:rsid w:val="00611D91"/>
    <w:rsid w:val="00612C49"/>
    <w:rsid w:val="00625CE5"/>
    <w:rsid w:val="00654A68"/>
    <w:rsid w:val="00655C33"/>
    <w:rsid w:val="00677407"/>
    <w:rsid w:val="006A0A8B"/>
    <w:rsid w:val="006A25BC"/>
    <w:rsid w:val="006B3827"/>
    <w:rsid w:val="006C11D7"/>
    <w:rsid w:val="006E4E39"/>
    <w:rsid w:val="00724F40"/>
    <w:rsid w:val="007357D2"/>
    <w:rsid w:val="00746303"/>
    <w:rsid w:val="00786FD7"/>
    <w:rsid w:val="007A284B"/>
    <w:rsid w:val="007D0FFF"/>
    <w:rsid w:val="008035AA"/>
    <w:rsid w:val="0080395A"/>
    <w:rsid w:val="00807C73"/>
    <w:rsid w:val="00815373"/>
    <w:rsid w:val="008263F0"/>
    <w:rsid w:val="00847C30"/>
    <w:rsid w:val="00864B94"/>
    <w:rsid w:val="00891498"/>
    <w:rsid w:val="008B36B1"/>
    <w:rsid w:val="008D51EF"/>
    <w:rsid w:val="008D6CF4"/>
    <w:rsid w:val="008E5EE3"/>
    <w:rsid w:val="008F3F19"/>
    <w:rsid w:val="0091442C"/>
    <w:rsid w:val="00917888"/>
    <w:rsid w:val="00922973"/>
    <w:rsid w:val="00937DD1"/>
    <w:rsid w:val="009453B5"/>
    <w:rsid w:val="00973F2D"/>
    <w:rsid w:val="009871D9"/>
    <w:rsid w:val="00991E6E"/>
    <w:rsid w:val="009B7B8C"/>
    <w:rsid w:val="00A245B8"/>
    <w:rsid w:val="00A32A12"/>
    <w:rsid w:val="00A35215"/>
    <w:rsid w:val="00A557E0"/>
    <w:rsid w:val="00A62DD6"/>
    <w:rsid w:val="00A70509"/>
    <w:rsid w:val="00A718AA"/>
    <w:rsid w:val="00A966B4"/>
    <w:rsid w:val="00AD2107"/>
    <w:rsid w:val="00AF2462"/>
    <w:rsid w:val="00B0386C"/>
    <w:rsid w:val="00B36220"/>
    <w:rsid w:val="00B83A13"/>
    <w:rsid w:val="00B900BA"/>
    <w:rsid w:val="00BE0A44"/>
    <w:rsid w:val="00C13DA9"/>
    <w:rsid w:val="00C42151"/>
    <w:rsid w:val="00C51B31"/>
    <w:rsid w:val="00C53F4D"/>
    <w:rsid w:val="00C65A12"/>
    <w:rsid w:val="00CB029C"/>
    <w:rsid w:val="00CC29D7"/>
    <w:rsid w:val="00CC7F78"/>
    <w:rsid w:val="00CE59B2"/>
    <w:rsid w:val="00D03A88"/>
    <w:rsid w:val="00D040A5"/>
    <w:rsid w:val="00D10155"/>
    <w:rsid w:val="00D16048"/>
    <w:rsid w:val="00D40E88"/>
    <w:rsid w:val="00D81BAA"/>
    <w:rsid w:val="00DA1024"/>
    <w:rsid w:val="00DA5883"/>
    <w:rsid w:val="00DC61DF"/>
    <w:rsid w:val="00DE2AC1"/>
    <w:rsid w:val="00E23D84"/>
    <w:rsid w:val="00E468E9"/>
    <w:rsid w:val="00E46C06"/>
    <w:rsid w:val="00ED612B"/>
    <w:rsid w:val="00EF13D2"/>
    <w:rsid w:val="00F02DD0"/>
    <w:rsid w:val="00F032DC"/>
    <w:rsid w:val="00F46664"/>
    <w:rsid w:val="00F660B4"/>
    <w:rsid w:val="00F72B71"/>
    <w:rsid w:val="00F77326"/>
    <w:rsid w:val="00F86D4B"/>
    <w:rsid w:val="00F91E8C"/>
    <w:rsid w:val="00FD2224"/>
    <w:rsid w:val="00FF6A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D8272-FD2C-480D-85EC-68829DF8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4CD"/>
    <w:pPr>
      <w:suppressAutoHyphens/>
      <w:spacing w:after="0" w:line="240" w:lineRule="auto"/>
    </w:pPr>
    <w:rPr>
      <w:rFonts w:ascii="Times New Roman" w:eastAsia="Times New Roman"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5E64CD"/>
    <w:pPr>
      <w:tabs>
        <w:tab w:val="center" w:pos="4536"/>
        <w:tab w:val="right" w:pos="9072"/>
      </w:tabs>
    </w:pPr>
  </w:style>
  <w:style w:type="paragraph" w:styleId="stBilgi">
    <w:name w:val="header"/>
    <w:basedOn w:val="Normal"/>
    <w:link w:val="stBilgiChar"/>
    <w:uiPriority w:val="99"/>
    <w:semiHidden/>
    <w:unhideWhenUsed/>
    <w:rsid w:val="005E64CD"/>
    <w:pPr>
      <w:tabs>
        <w:tab w:val="center" w:pos="4536"/>
        <w:tab w:val="right" w:pos="9072"/>
      </w:tabs>
    </w:pPr>
  </w:style>
  <w:style w:type="character" w:customStyle="1" w:styleId="stBilgiChar">
    <w:name w:val="Üst Bilgi Char"/>
    <w:basedOn w:val="VarsaylanParagrafYazTipi"/>
    <w:link w:val="stBilgi"/>
    <w:uiPriority w:val="99"/>
    <w:semiHidden/>
    <w:rsid w:val="005E64CD"/>
    <w:rPr>
      <w:rFonts w:ascii="Times New Roman" w:eastAsia="Times New Roman" w:hAnsi="Times New Roman" w:cs="Times New Roman"/>
      <w:sz w:val="24"/>
      <w:szCs w:val="24"/>
      <w:lang w:eastAsia="zh-CN"/>
    </w:rPr>
  </w:style>
  <w:style w:type="paragraph" w:styleId="AltBilgi">
    <w:name w:val="footer"/>
    <w:basedOn w:val="Normal"/>
    <w:link w:val="AltBilgiChar"/>
    <w:uiPriority w:val="99"/>
    <w:semiHidden/>
    <w:unhideWhenUsed/>
    <w:rsid w:val="005E64CD"/>
    <w:pPr>
      <w:tabs>
        <w:tab w:val="center" w:pos="4536"/>
        <w:tab w:val="right" w:pos="9072"/>
      </w:tabs>
    </w:pPr>
  </w:style>
  <w:style w:type="character" w:customStyle="1" w:styleId="AltBilgiChar">
    <w:name w:val="Alt Bilgi Char"/>
    <w:basedOn w:val="VarsaylanParagrafYazTipi"/>
    <w:link w:val="AltBilgi"/>
    <w:uiPriority w:val="99"/>
    <w:semiHidden/>
    <w:rsid w:val="005E64CD"/>
    <w:rPr>
      <w:rFonts w:ascii="Times New Roman" w:eastAsia="Times New Roman" w:hAnsi="Times New Roman" w:cs="Times New Roman"/>
      <w:sz w:val="24"/>
      <w:szCs w:val="24"/>
      <w:lang w:eastAsia="zh-CN"/>
    </w:rPr>
  </w:style>
  <w:style w:type="paragraph" w:styleId="BalonMetni">
    <w:name w:val="Balloon Text"/>
    <w:basedOn w:val="Normal"/>
    <w:link w:val="BalonMetniChar"/>
    <w:uiPriority w:val="99"/>
    <w:semiHidden/>
    <w:unhideWhenUsed/>
    <w:rsid w:val="002D1A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AD8"/>
    <w:rPr>
      <w:rFonts w:ascii="Segoe UI" w:eastAsia="Times New Roman" w:hAnsi="Segoe UI" w:cs="Segoe UI"/>
      <w:sz w:val="18"/>
      <w:szCs w:val="18"/>
      <w:lang w:eastAsia="zh-CN"/>
    </w:rPr>
  </w:style>
  <w:style w:type="paragraph" w:styleId="ListeParagraf">
    <w:name w:val="List Paragraph"/>
    <w:basedOn w:val="Normal"/>
    <w:uiPriority w:val="34"/>
    <w:qFormat/>
    <w:rsid w:val="0025265E"/>
    <w:pPr>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9227">
      <w:bodyDiv w:val="1"/>
      <w:marLeft w:val="0"/>
      <w:marRight w:val="0"/>
      <w:marTop w:val="0"/>
      <w:marBottom w:val="0"/>
      <w:divBdr>
        <w:top w:val="none" w:sz="0" w:space="0" w:color="auto"/>
        <w:left w:val="none" w:sz="0" w:space="0" w:color="auto"/>
        <w:bottom w:val="none" w:sz="0" w:space="0" w:color="auto"/>
        <w:right w:val="none" w:sz="0" w:space="0" w:color="auto"/>
      </w:divBdr>
    </w:div>
    <w:div w:id="20462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Saban ST. TUFEK</dc:creator>
  <cp:keywords/>
  <dc:description/>
  <cp:lastModifiedBy>Busra BK. KURNAZ</cp:lastModifiedBy>
  <cp:revision>2</cp:revision>
  <cp:lastPrinted>2021-05-26T06:34:00Z</cp:lastPrinted>
  <dcterms:created xsi:type="dcterms:W3CDTF">2021-06-04T12:51:00Z</dcterms:created>
  <dcterms:modified xsi:type="dcterms:W3CDTF">2021-06-04T12:51:00Z</dcterms:modified>
</cp:coreProperties>
</file>